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7"/>
      </w:pPr>
      <w:r>
        <w:rPr/>
        <w:t>NOTE: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Mandatory</w:t>
      </w:r>
      <w:r>
        <w:rPr>
          <w:spacing w:val="-1"/>
        </w:rPr>
        <w:t> </w:t>
      </w:r>
      <w:r>
        <w:rPr>
          <w:spacing w:val="-2"/>
        </w:rPr>
        <w:t>Policy</w:t>
      </w:r>
    </w:p>
    <w:p>
      <w:pPr>
        <w:pStyle w:val="Heading1"/>
        <w:numPr>
          <w:ilvl w:val="0"/>
          <w:numId w:val="1"/>
        </w:numPr>
        <w:tabs>
          <w:tab w:pos="285" w:val="left" w:leader="none"/>
        </w:tabs>
        <w:spacing w:line="240" w:lineRule="auto" w:before="187" w:after="0"/>
        <w:ind w:left="285" w:right="0" w:hanging="175"/>
        <w:jc w:val="left"/>
      </w:pPr>
      <w:r>
        <w:rPr>
          <w:spacing w:val="-2"/>
        </w:rPr>
        <w:t>GOALS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59" w:lineRule="auto" w:before="182" w:after="0"/>
        <w:ind w:left="110" w:right="286" w:firstLine="0"/>
        <w:jc w:val="left"/>
        <w:rPr>
          <w:sz w:val="24"/>
        </w:rPr>
      </w:pPr>
      <w:r>
        <w:rPr>
          <w:sz w:val="24"/>
        </w:rPr>
        <w:t>The goal of this policy is to adopt a standard that guides the governance board and executive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agency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making</w:t>
      </w:r>
      <w:r>
        <w:rPr>
          <w:spacing w:val="-4"/>
          <w:sz w:val="24"/>
        </w:rPr>
        <w:t> </w:t>
      </w:r>
      <w:r>
        <w:rPr>
          <w:sz w:val="24"/>
        </w:rPr>
        <w:t>decisions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agencies/departments</w:t>
      </w:r>
      <w:r>
        <w:rPr>
          <w:spacing w:val="-4"/>
          <w:sz w:val="24"/>
        </w:rPr>
        <w:t> </w:t>
      </w:r>
      <w:r>
        <w:rPr>
          <w:sz w:val="24"/>
        </w:rPr>
        <w:t>and individuals should have access to the Valcour network, CAD/RM system, law incidents, and names records.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59" w:lineRule="auto" w:before="160" w:after="0"/>
        <w:ind w:left="110" w:right="725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network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an agency that is allowed onto the system.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59" w:lineRule="auto" w:before="160" w:after="0"/>
        <w:ind w:left="110" w:right="268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limiting</w:t>
      </w:r>
      <w:r>
        <w:rPr>
          <w:spacing w:val="-3"/>
          <w:sz w:val="24"/>
        </w:rPr>
        <w:t> </w:t>
      </w:r>
      <w:r>
        <w:rPr>
          <w:sz w:val="24"/>
        </w:rPr>
        <w:t>access,</w:t>
      </w:r>
      <w:r>
        <w:rPr>
          <w:spacing w:val="-4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privacy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confidentiality</w:t>
      </w:r>
      <w:r>
        <w:rPr>
          <w:spacing w:val="-3"/>
          <w:sz w:val="24"/>
        </w:rPr>
        <w:t> </w:t>
      </w:r>
      <w:r>
        <w:rPr>
          <w:sz w:val="24"/>
        </w:rPr>
        <w:t>rights of the users and citizens of the State of Vermont are protected.</w:t>
      </w:r>
    </w:p>
    <w:p>
      <w:pPr>
        <w:pStyle w:val="Heading1"/>
        <w:numPr>
          <w:ilvl w:val="0"/>
          <w:numId w:val="1"/>
        </w:numPr>
        <w:tabs>
          <w:tab w:pos="284" w:val="left" w:leader="none"/>
        </w:tabs>
        <w:spacing w:line="240" w:lineRule="auto" w:before="159" w:after="0"/>
        <w:ind w:left="284" w:right="0" w:hanging="174"/>
        <w:jc w:val="left"/>
      </w:pPr>
      <w:r>
        <w:rPr>
          <w:spacing w:val="-2"/>
        </w:rPr>
        <w:t>POLICIES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59" w:lineRule="auto" w:before="182" w:after="0"/>
        <w:ind w:left="110" w:right="105" w:firstLine="0"/>
        <w:jc w:val="left"/>
        <w:rPr>
          <w:sz w:val="24"/>
        </w:rPr>
      </w:pPr>
      <w:r>
        <w:rPr>
          <w:sz w:val="24"/>
        </w:rPr>
        <w:t>It is the policy of the Valcour Governance Board to grant access to the Valcour databases to those</w:t>
      </w:r>
      <w:r>
        <w:rPr>
          <w:spacing w:val="-4"/>
          <w:sz w:val="24"/>
        </w:rPr>
        <w:t> </w:t>
      </w:r>
      <w:r>
        <w:rPr>
          <w:sz w:val="24"/>
        </w:rPr>
        <w:t>agencies/departments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ORI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whose</w:t>
      </w:r>
      <w:r>
        <w:rPr>
          <w:spacing w:val="-4"/>
          <w:sz w:val="24"/>
        </w:rPr>
        <w:t> </w:t>
      </w:r>
      <w:r>
        <w:rPr>
          <w:sz w:val="24"/>
        </w:rPr>
        <w:t>mission/purpose/focus is the investigation and /or prosecution of criminal activity or otherwise allowed by law.</w:t>
      </w:r>
    </w:p>
    <w:p>
      <w:pPr>
        <w:pStyle w:val="BodyText"/>
        <w:spacing w:line="259" w:lineRule="auto" w:before="160"/>
      </w:pPr>
      <w:r>
        <w:rPr/>
        <w:t>2.2.</w:t>
      </w:r>
      <w:r>
        <w:rPr>
          <w:spacing w:val="-3"/>
        </w:rPr>
        <w:t> </w:t>
      </w:r>
      <w:r>
        <w:rPr/>
        <w:t>Generally,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agency/department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granted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networks databases as long as that agency/department is granted access.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59" w:lineRule="auto" w:before="159" w:after="0"/>
        <w:ind w:left="110" w:right="477" w:firstLine="0"/>
        <w:jc w:val="left"/>
        <w:rPr>
          <w:sz w:val="24"/>
        </w:rPr>
      </w:pPr>
      <w:r>
        <w:rPr>
          <w:sz w:val="24"/>
        </w:rPr>
        <w:t>It is the policy of the Valcour Governance Board to limit access to the network where appropriate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help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protection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identifying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 databases and to protect the information of the agencies using the network.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59" w:lineRule="auto" w:before="159" w:after="0"/>
        <w:ind w:left="110" w:right="543" w:firstLine="0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users</w:t>
      </w:r>
      <w:r>
        <w:rPr>
          <w:spacing w:val="-3"/>
          <w:sz w:val="24"/>
        </w:rPr>
        <w:t> </w:t>
      </w: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CJIS</w:t>
      </w:r>
      <w:r>
        <w:rPr>
          <w:spacing w:val="-3"/>
          <w:sz w:val="24"/>
        </w:rPr>
        <w:t> </w:t>
      </w:r>
      <w:r>
        <w:rPr>
          <w:sz w:val="24"/>
        </w:rPr>
        <w:t>requirements, including a national fingerprint supported background check and annual training.</w:t>
      </w:r>
    </w:p>
    <w:p>
      <w:pPr>
        <w:pStyle w:val="Heading1"/>
        <w:numPr>
          <w:ilvl w:val="0"/>
          <w:numId w:val="1"/>
        </w:numPr>
        <w:tabs>
          <w:tab w:pos="285" w:val="left" w:leader="none"/>
        </w:tabs>
        <w:spacing w:line="240" w:lineRule="auto" w:before="160" w:after="0"/>
        <w:ind w:left="285" w:right="0" w:hanging="175"/>
        <w:jc w:val="left"/>
      </w:pPr>
      <w:r>
        <w:rPr>
          <w:spacing w:val="-2"/>
        </w:rPr>
        <w:t>DEFINITIONS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59" w:lineRule="auto" w:before="183" w:after="0"/>
        <w:ind w:left="830" w:right="546" w:hanging="360"/>
        <w:jc w:val="left"/>
        <w:rPr>
          <w:sz w:val="24"/>
        </w:rPr>
      </w:pPr>
      <w:r>
        <w:rPr>
          <w:sz w:val="24"/>
          <w:u w:val="single"/>
        </w:rPr>
        <w:t>Sponsorship</w:t>
      </w:r>
      <w:r>
        <w:rPr>
          <w:sz w:val="24"/>
        </w:rPr>
        <w:t> – A contributing agency who grants a user or agency, who is not a contributing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agency,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Valcour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56" w:lineRule="auto" w:before="3" w:after="0"/>
        <w:ind w:left="830" w:right="125" w:hanging="360"/>
        <w:jc w:val="left"/>
        <w:rPr>
          <w:sz w:val="24"/>
        </w:rPr>
      </w:pPr>
      <w:r>
        <w:rPr>
          <w:sz w:val="24"/>
          <w:u w:val="single"/>
        </w:rPr>
        <w:t>Contributing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contributing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uses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Valcour</w:t>
      </w:r>
      <w:r>
        <w:rPr>
          <w:spacing w:val="-3"/>
          <w:sz w:val="24"/>
        </w:rPr>
        <w:t> </w:t>
      </w:r>
      <w:r>
        <w:rPr>
          <w:sz w:val="24"/>
        </w:rPr>
        <w:t>CAD/RM system and enters information for the purposes of NIBRS reporting, agency administration and law enforcement investigative purposes.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54" w:lineRule="auto" w:before="6" w:after="0"/>
        <w:ind w:left="830" w:right="532" w:hanging="360"/>
        <w:jc w:val="left"/>
        <w:rPr>
          <w:sz w:val="24"/>
        </w:rPr>
      </w:pPr>
      <w:r>
        <w:rPr>
          <w:sz w:val="24"/>
          <w:u w:val="single"/>
        </w:rPr>
        <w:t>Contributing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employed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contributing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 login to the Valcour system. -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59" w:lineRule="auto" w:before="10" w:after="0"/>
        <w:ind w:left="830" w:right="100" w:hanging="360"/>
        <w:jc w:val="left"/>
        <w:rPr>
          <w:sz w:val="24"/>
        </w:rPr>
      </w:pPr>
      <w:r>
        <w:rPr>
          <w:sz w:val="24"/>
          <w:u w:val="single"/>
        </w:rPr>
        <w:t>Trusted computer</w:t>
      </w:r>
      <w:r>
        <w:rPr>
          <w:sz w:val="24"/>
        </w:rPr>
        <w:t> – A trusted computer is a computer sanctioned for business use by a user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meets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VIBRS</w:t>
      </w:r>
      <w:r>
        <w:rPr>
          <w:spacing w:val="-3"/>
          <w:sz w:val="24"/>
        </w:rPr>
        <w:t> </w:t>
      </w:r>
      <w:r>
        <w:rPr>
          <w:sz w:val="24"/>
        </w:rPr>
        <w:t>security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requirements.</w:t>
      </w:r>
      <w:r>
        <w:rPr>
          <w:spacing w:val="-3"/>
          <w:sz w:val="24"/>
        </w:rPr>
        <w:t> </w:t>
      </w:r>
      <w:r>
        <w:rPr>
          <w:sz w:val="24"/>
        </w:rPr>
        <w:t>Specifically,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must have a firewall and up to date virus protection. It also must have a time controlled disabling configuration when it is not in use but on.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2240" w:h="15840"/>
          <w:pgMar w:top="1640" w:bottom="280" w:left="1340" w:right="1340"/>
        </w:sectPr>
      </w:pPr>
    </w:p>
    <w:p>
      <w:pPr>
        <w:pStyle w:val="Heading1"/>
        <w:numPr>
          <w:ilvl w:val="0"/>
          <w:numId w:val="1"/>
        </w:numPr>
        <w:tabs>
          <w:tab w:pos="285" w:val="left" w:leader="none"/>
        </w:tabs>
        <w:spacing w:line="240" w:lineRule="auto" w:before="74" w:after="0"/>
        <w:ind w:left="285" w:right="0" w:hanging="175"/>
        <w:jc w:val="left"/>
      </w:pPr>
      <w:r>
        <w:rPr>
          <w:spacing w:val="-2"/>
        </w:rPr>
        <w:t>SPONSORSHIPS</w:t>
      </w:r>
    </w:p>
    <w:p>
      <w:pPr>
        <w:pStyle w:val="BodyText"/>
        <w:spacing w:before="9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46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sponsors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sponsored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users.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110" w:right="156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agencies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sponsor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inform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sponsored</w:t>
      </w:r>
      <w:r>
        <w:rPr>
          <w:spacing w:val="-3"/>
          <w:sz w:val="24"/>
        </w:rPr>
        <w:t> </w:t>
      </w:r>
      <w:r>
        <w:rPr>
          <w:sz w:val="24"/>
        </w:rPr>
        <w:t>agencies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users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proper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 the system and the Valcour policies.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" w:after="0"/>
        <w:ind w:left="110" w:right="467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sponsored</w:t>
      </w:r>
      <w:r>
        <w:rPr>
          <w:spacing w:val="-6"/>
          <w:sz w:val="24"/>
        </w:rPr>
        <w:t> </w:t>
      </w:r>
      <w:r>
        <w:rPr>
          <w:sz w:val="24"/>
        </w:rPr>
        <w:t>agencies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users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follow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Criminal</w:t>
      </w:r>
      <w:r>
        <w:rPr>
          <w:spacing w:val="-4"/>
          <w:sz w:val="24"/>
        </w:rPr>
        <w:t> </w:t>
      </w:r>
      <w:r>
        <w:rPr>
          <w:sz w:val="24"/>
        </w:rPr>
        <w:t>Justice</w:t>
      </w:r>
      <w:r>
        <w:rPr>
          <w:spacing w:val="-4"/>
          <w:sz w:val="24"/>
        </w:rPr>
        <w:t> </w:t>
      </w:r>
      <w:r>
        <w:rPr>
          <w:sz w:val="24"/>
        </w:rPr>
        <w:t>Informational</w:t>
      </w:r>
      <w:r>
        <w:rPr>
          <w:spacing w:val="-4"/>
          <w:sz w:val="24"/>
        </w:rPr>
        <w:t> </w:t>
      </w:r>
      <w:r>
        <w:rPr>
          <w:sz w:val="24"/>
        </w:rPr>
        <w:t>Services security policy.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0" w:after="0"/>
        <w:ind w:left="468" w:right="0" w:hanging="3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sponsoring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sponsored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user.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54" w:lineRule="auto" w:before="187" w:after="0"/>
        <w:ind w:left="110" w:right="287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Valcour</w:t>
      </w:r>
      <w:r>
        <w:rPr>
          <w:spacing w:val="-3"/>
          <w:sz w:val="24"/>
        </w:rPr>
        <w:t> </w:t>
      </w:r>
      <w:r>
        <w:rPr>
          <w:sz w:val="24"/>
        </w:rPr>
        <w:t>Governance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requests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participation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network</w:t>
      </w:r>
      <w:r>
        <w:rPr>
          <w:spacing w:val="-3"/>
          <w:sz w:val="24"/>
        </w:rPr>
        <w:t> </w:t>
      </w:r>
      <w:r>
        <w:rPr>
          <w:sz w:val="24"/>
        </w:rPr>
        <w:t>to include sponsorship requests.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71" w:after="0"/>
        <w:ind w:left="46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Valcour</w:t>
      </w:r>
      <w:r>
        <w:rPr>
          <w:spacing w:val="-1"/>
          <w:sz w:val="24"/>
        </w:rPr>
        <w:t> </w:t>
      </w:r>
      <w:r>
        <w:rPr>
          <w:sz w:val="24"/>
        </w:rPr>
        <w:t>governance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Valcour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participation.</w:t>
      </w:r>
    </w:p>
    <w:p>
      <w:pPr>
        <w:pStyle w:val="Heading1"/>
        <w:numPr>
          <w:ilvl w:val="0"/>
          <w:numId w:val="1"/>
        </w:numPr>
        <w:tabs>
          <w:tab w:pos="285" w:val="left" w:leader="none"/>
        </w:tabs>
        <w:spacing w:line="240" w:lineRule="auto" w:before="182" w:after="0"/>
        <w:ind w:left="285" w:right="0" w:hanging="175"/>
        <w:jc w:val="left"/>
      </w:pPr>
      <w:r>
        <w:rPr/>
        <w:t>Complaints/Violations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Policy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59" w:lineRule="auto" w:before="183" w:after="0"/>
        <w:ind w:left="110" w:right="26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contributing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inappropriate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information 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every</w:t>
      </w:r>
      <w:r>
        <w:rPr>
          <w:spacing w:val="-3"/>
          <w:sz w:val="24"/>
        </w:rPr>
        <w:t> </w:t>
      </w:r>
      <w:r>
        <w:rPr>
          <w:sz w:val="24"/>
        </w:rPr>
        <w:t>effort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complaint</w:t>
      </w:r>
      <w:r>
        <w:rPr>
          <w:spacing w:val="-3"/>
          <w:sz w:val="24"/>
        </w:rPr>
        <w:t> </w:t>
      </w:r>
      <w:r>
        <w:rPr>
          <w:sz w:val="24"/>
        </w:rPr>
        <w:t>investigated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not limited to; contacting the agency of concern and trying to rectify the problem at this level, reporting the complaint to the Valcour Governance Board, or reporting the complaint and initiating a criminal investigation by another law enforcement agency into the inappropriate use of information contained within the Valcour system.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54" w:lineRule="auto" w:before="160" w:after="0"/>
        <w:ind w:left="110" w:right="481" w:firstLine="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agencies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encouraged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handle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complaint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lowest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-3"/>
          <w:sz w:val="24"/>
        </w:rPr>
        <w:t> </w:t>
      </w:r>
      <w:r>
        <w:rPr>
          <w:sz w:val="24"/>
        </w:rPr>
        <w:t>by notifying the agency head of the agency or department that is the offender.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1"/>
        <w:ind w:left="0"/>
      </w:pPr>
    </w:p>
    <w:p>
      <w:pPr>
        <w:pStyle w:val="BodyText"/>
        <w:spacing w:before="1"/>
      </w:pPr>
      <w:r>
        <w:rPr/>
        <w:t>Adopted:</w:t>
      </w:r>
      <w:r>
        <w:rPr>
          <w:spacing w:val="-1"/>
        </w:rPr>
        <w:t> </w:t>
      </w:r>
      <w:r>
        <w:rPr/>
        <w:t>April 13, </w:t>
      </w:r>
      <w:r>
        <w:rPr>
          <w:spacing w:val="-4"/>
        </w:rPr>
        <w:t>2022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0" w:hanging="35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0" w:hanging="35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8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2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6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8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2" w:hanging="3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76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35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0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7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5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2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10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7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5" w:hanging="35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85" w:hanging="175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11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Policy  - adopted</dc:title>
  <dcterms:created xsi:type="dcterms:W3CDTF">2023-11-08T16:37:22Z</dcterms:created>
  <dcterms:modified xsi:type="dcterms:W3CDTF">2023-11-08T16:37:22Z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macOS Version 12.3.1 (Build 21E258) Quartz PDFContext</vt:lpwstr>
  </property>
</Properties>
</file>